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C4ECB2B" w:rsidR="00A672BD" w:rsidRPr="0025077E" w:rsidRDefault="000C1D68" w:rsidP="0025077E">
      <w:pPr>
        <w:pStyle w:val="Nessunaspaziatura"/>
        <w:rPr>
          <w:rFonts w:ascii="Open Sans" w:hAnsi="Open Sans" w:cs="Open Sans"/>
          <w:b/>
        </w:rPr>
      </w:pPr>
      <w:r w:rsidRPr="0025077E">
        <w:rPr>
          <w:rFonts w:ascii="Open Sans" w:hAnsi="Open Sans" w:cs="Open Sans"/>
          <w:b/>
        </w:rPr>
        <w:t xml:space="preserve">DL </w:t>
      </w:r>
      <w:r w:rsidR="0076752C" w:rsidRPr="0025077E">
        <w:rPr>
          <w:rFonts w:ascii="Open Sans" w:hAnsi="Open Sans" w:cs="Open Sans"/>
          <w:b/>
        </w:rPr>
        <w:t>20</w:t>
      </w:r>
      <w:r w:rsidRPr="0025077E">
        <w:rPr>
          <w:rFonts w:ascii="Open Sans" w:hAnsi="Open Sans" w:cs="Open Sans"/>
          <w:b/>
        </w:rPr>
        <w:t>-</w:t>
      </w:r>
      <w:r w:rsidR="002418B8" w:rsidRPr="0025077E">
        <w:rPr>
          <w:rFonts w:ascii="Open Sans" w:hAnsi="Open Sans" w:cs="Open Sans"/>
          <w:b/>
        </w:rPr>
        <w:t>200</w:t>
      </w:r>
      <w:r w:rsidRPr="0025077E">
        <w:rPr>
          <w:rFonts w:ascii="Open Sans" w:hAnsi="Open Sans" w:cs="Open Sans"/>
          <w:b/>
        </w:rPr>
        <w:t>/T-EN54</w:t>
      </w:r>
      <w:r w:rsidR="00A672BD" w:rsidRPr="0025077E">
        <w:rPr>
          <w:rFonts w:ascii="Open Sans" w:hAnsi="Open Sans" w:cs="Open Sans"/>
          <w:b/>
        </w:rPr>
        <w:t xml:space="preserve"> </w:t>
      </w:r>
      <w:r w:rsidRPr="0025077E">
        <w:rPr>
          <w:rFonts w:ascii="Open Sans" w:hAnsi="Open Sans" w:cs="Open Sans"/>
        </w:rPr>
        <w:t>Diffusore controsoffitto</w:t>
      </w:r>
    </w:p>
    <w:p w14:paraId="7B08196E" w14:textId="77777777" w:rsidR="00A672BD" w:rsidRPr="0025077E" w:rsidRDefault="00A672BD" w:rsidP="0025077E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18BCF9F7" w:rsidR="000C1D68" w:rsidRPr="0025077E" w:rsidRDefault="000C1D68" w:rsidP="0025077E">
      <w:pPr>
        <w:pStyle w:val="Nessunaspaziatura"/>
        <w:rPr>
          <w:rFonts w:ascii="Open Sans" w:hAnsi="Open Sans" w:cs="Open Sans"/>
          <w:sz w:val="18"/>
          <w:szCs w:val="18"/>
        </w:rPr>
      </w:pPr>
      <w:r w:rsidRPr="0025077E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777108" w:rsidRPr="0025077E">
        <w:rPr>
          <w:rFonts w:ascii="Open Sans" w:hAnsi="Open Sans" w:cs="Open Sans"/>
          <w:sz w:val="18"/>
          <w:szCs w:val="18"/>
        </w:rPr>
        <w:t xml:space="preserve">ffitto, costruito con anello e </w:t>
      </w:r>
      <w:r w:rsidRPr="0025077E">
        <w:rPr>
          <w:rFonts w:ascii="Open Sans" w:hAnsi="Open Sans" w:cs="Open Sans"/>
          <w:sz w:val="18"/>
          <w:szCs w:val="18"/>
        </w:rPr>
        <w:t>griglia in metallo, il tutto di colore bianco (RAL901</w:t>
      </w:r>
      <w:r w:rsidR="000603EB" w:rsidRPr="0025077E">
        <w:rPr>
          <w:rFonts w:ascii="Open Sans" w:hAnsi="Open Sans" w:cs="Open Sans"/>
          <w:sz w:val="18"/>
          <w:szCs w:val="18"/>
        </w:rPr>
        <w:t>0</w:t>
      </w:r>
      <w:r w:rsidRPr="0025077E">
        <w:rPr>
          <w:rFonts w:ascii="Open Sans" w:hAnsi="Open Sans" w:cs="Open Sans"/>
          <w:sz w:val="18"/>
          <w:szCs w:val="18"/>
        </w:rPr>
        <w:t>).</w:t>
      </w:r>
    </w:p>
    <w:p w14:paraId="6E86C92B" w14:textId="77777777" w:rsidR="006546C2" w:rsidRDefault="00777108" w:rsidP="0025077E">
      <w:pPr>
        <w:pStyle w:val="Nessunaspaziatura"/>
        <w:rPr>
          <w:rFonts w:ascii="Open Sans" w:hAnsi="Open Sans" w:cs="Open Sans"/>
          <w:sz w:val="18"/>
          <w:szCs w:val="18"/>
        </w:rPr>
      </w:pPr>
      <w:r w:rsidRPr="0025077E">
        <w:rPr>
          <w:rFonts w:ascii="Open Sans" w:hAnsi="Open Sans" w:cs="Open Sans"/>
          <w:sz w:val="18"/>
          <w:szCs w:val="18"/>
        </w:rPr>
        <w:t>L’altoparlante Ø 200 mm deve essere a larga banda con doppio cono per le frequenze alte, e deve essere incluso il trasformatore per il collegamento a tensione costante 100 V. Il diffusore sonoro dovrà essere dotato di molle auto-bloccanti per l’installazione in controsoffitto completo di calotta antifiamma in acciaio, connettore ceramico a 2 poli, completo di termofusibile</w:t>
      </w:r>
      <w:r w:rsidR="006546C2">
        <w:rPr>
          <w:rFonts w:ascii="Open Sans" w:hAnsi="Open Sans" w:cs="Open Sans"/>
          <w:sz w:val="18"/>
          <w:szCs w:val="18"/>
        </w:rPr>
        <w:t>.</w:t>
      </w:r>
    </w:p>
    <w:p w14:paraId="1D20D8BA" w14:textId="66076BF9" w:rsidR="000C1D68" w:rsidRPr="0025077E" w:rsidRDefault="006546C2" w:rsidP="0025077E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1438-CPR-0233</w:t>
      </w:r>
    </w:p>
    <w:p w14:paraId="47923E87" w14:textId="77777777" w:rsidR="00777108" w:rsidRPr="0025077E" w:rsidRDefault="00777108" w:rsidP="0025077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25077E" w:rsidRDefault="000C1D68" w:rsidP="0025077E">
      <w:pPr>
        <w:pStyle w:val="Nessunaspaziatura"/>
        <w:rPr>
          <w:rFonts w:ascii="Open Sans" w:hAnsi="Open Sans" w:cs="Open Sans"/>
          <w:sz w:val="18"/>
          <w:szCs w:val="18"/>
        </w:rPr>
      </w:pPr>
      <w:r w:rsidRPr="0025077E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25077E" w:rsidRDefault="00DA15E4" w:rsidP="0025077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0E2B9CE8" w:rsidR="00DA15E4" w:rsidRPr="0025077E" w:rsidRDefault="00DA15E4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Potenza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="0076752C" w:rsidRPr="0025077E">
        <w:rPr>
          <w:rFonts w:ascii="Open Sans" w:hAnsi="Open Sans" w:cs="Open Sans"/>
          <w:sz w:val="18"/>
          <w:szCs w:val="18"/>
          <w:lang w:eastAsia="it-IT"/>
        </w:rPr>
        <w:t>20 / 15 / 10 / 5</w:t>
      </w:r>
      <w:r w:rsidRPr="0025077E">
        <w:rPr>
          <w:rFonts w:ascii="Open Sans" w:hAnsi="Open Sans" w:cs="Open Sans"/>
          <w:sz w:val="18"/>
          <w:szCs w:val="18"/>
          <w:lang w:eastAsia="it-IT"/>
        </w:rPr>
        <w:t xml:space="preserve"> W</w:t>
      </w:r>
    </w:p>
    <w:p w14:paraId="2DCFB874" w14:textId="40479E87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Impedenza (100V)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  <w:t>500 / 666 / 1.000 / 2.000 Ω</w:t>
      </w:r>
    </w:p>
    <w:p w14:paraId="14E404B2" w14:textId="16996DD9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Gamma frequenze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  <w:t>188 ÷ 16.100 Hz</w:t>
      </w:r>
    </w:p>
    <w:p w14:paraId="0A94F03E" w14:textId="1717D847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Risposta in frequenza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  <w:t>103 ÷ 24.000 Hz</w:t>
      </w:r>
    </w:p>
    <w:p w14:paraId="0ED12A42" w14:textId="08D0E959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SPL 1W/1m, peak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  <w:t>94,1 dB</w:t>
      </w:r>
    </w:p>
    <w:p w14:paraId="094ECE24" w14:textId="79FFAD35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val="en-US" w:eastAsia="it-IT"/>
        </w:rPr>
      </w:pPr>
      <w:r w:rsidRPr="0025077E">
        <w:rPr>
          <w:rFonts w:ascii="Open Sans" w:hAnsi="Open Sans" w:cs="Open Sans"/>
          <w:sz w:val="18"/>
          <w:szCs w:val="18"/>
          <w:lang w:val="en-US" w:eastAsia="it-IT"/>
        </w:rPr>
        <w:t>SPL 1W/4m, peak</w:t>
      </w:r>
      <w:r w:rsidRPr="0025077E">
        <w:rPr>
          <w:rFonts w:ascii="Open Sans" w:hAnsi="Open Sans" w:cs="Open Sans"/>
          <w:sz w:val="18"/>
          <w:szCs w:val="18"/>
          <w:lang w:val="en-US" w:eastAsia="it-IT"/>
        </w:rPr>
        <w:tab/>
      </w:r>
      <w:r w:rsidRPr="0025077E">
        <w:rPr>
          <w:rFonts w:ascii="Open Sans" w:hAnsi="Open Sans" w:cs="Open Sans"/>
          <w:sz w:val="18"/>
          <w:szCs w:val="18"/>
          <w:lang w:val="en-US" w:eastAsia="it-IT"/>
        </w:rPr>
        <w:tab/>
        <w:t>82</w:t>
      </w:r>
      <w:proofErr w:type="gramStart"/>
      <w:r w:rsidRPr="0025077E">
        <w:rPr>
          <w:rFonts w:ascii="Open Sans" w:hAnsi="Open Sans" w:cs="Open Sans"/>
          <w:sz w:val="18"/>
          <w:szCs w:val="18"/>
          <w:lang w:val="en-US" w:eastAsia="it-IT"/>
        </w:rPr>
        <w:t>,1</w:t>
      </w:r>
      <w:proofErr w:type="gramEnd"/>
      <w:r w:rsidRPr="0025077E">
        <w:rPr>
          <w:rFonts w:ascii="Open Sans" w:hAnsi="Open Sans" w:cs="Open Sans"/>
          <w:sz w:val="18"/>
          <w:szCs w:val="18"/>
          <w:lang w:val="en-US" w:eastAsia="it-IT"/>
        </w:rPr>
        <w:t xml:space="preserve"> dB</w:t>
      </w:r>
    </w:p>
    <w:p w14:paraId="2F46FC58" w14:textId="50002D00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val="en-US" w:eastAsia="it-IT"/>
        </w:rPr>
      </w:pPr>
      <w:r w:rsidRPr="0025077E">
        <w:rPr>
          <w:rFonts w:ascii="Open Sans" w:hAnsi="Open Sans" w:cs="Open Sans"/>
          <w:sz w:val="18"/>
          <w:szCs w:val="18"/>
          <w:lang w:val="en-US" w:eastAsia="it-IT"/>
        </w:rPr>
        <w:t>SPL P max/4m, peak</w:t>
      </w:r>
      <w:r w:rsidRPr="0025077E">
        <w:rPr>
          <w:rFonts w:ascii="Open Sans" w:hAnsi="Open Sans" w:cs="Open Sans"/>
          <w:sz w:val="18"/>
          <w:szCs w:val="18"/>
          <w:lang w:val="en-US" w:eastAsia="it-IT"/>
        </w:rPr>
        <w:tab/>
      </w:r>
      <w:r w:rsidRPr="0025077E">
        <w:rPr>
          <w:rFonts w:ascii="Open Sans" w:hAnsi="Open Sans" w:cs="Open Sans"/>
          <w:sz w:val="18"/>
          <w:szCs w:val="18"/>
          <w:lang w:val="en-US" w:eastAsia="it-IT"/>
        </w:rPr>
        <w:tab/>
        <w:t>95</w:t>
      </w:r>
      <w:proofErr w:type="gramStart"/>
      <w:r w:rsidRPr="0025077E">
        <w:rPr>
          <w:rFonts w:ascii="Open Sans" w:hAnsi="Open Sans" w:cs="Open Sans"/>
          <w:sz w:val="18"/>
          <w:szCs w:val="18"/>
          <w:lang w:val="en-US" w:eastAsia="it-IT"/>
        </w:rPr>
        <w:t>,1</w:t>
      </w:r>
      <w:proofErr w:type="gramEnd"/>
      <w:r w:rsidRPr="0025077E">
        <w:rPr>
          <w:rFonts w:ascii="Open Sans" w:hAnsi="Open Sans" w:cs="Open Sans"/>
          <w:sz w:val="18"/>
          <w:szCs w:val="18"/>
          <w:lang w:val="en-US" w:eastAsia="it-IT"/>
        </w:rPr>
        <w:t xml:space="preserve"> dB</w:t>
      </w:r>
    </w:p>
    <w:p w14:paraId="514B7776" w14:textId="2E1FCF02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val="en-US" w:eastAsia="it-IT"/>
        </w:rPr>
      </w:pPr>
      <w:r w:rsidRPr="0025077E">
        <w:rPr>
          <w:rFonts w:ascii="Open Sans" w:hAnsi="Open Sans" w:cs="Open Sans"/>
          <w:sz w:val="18"/>
          <w:szCs w:val="18"/>
          <w:lang w:val="en-US" w:eastAsia="it-IT"/>
        </w:rPr>
        <w:t>SPL rated noise power / 4m</w:t>
      </w:r>
      <w:r w:rsidRPr="0025077E">
        <w:rPr>
          <w:rFonts w:ascii="Open Sans" w:hAnsi="Open Sans" w:cs="Open Sans"/>
          <w:sz w:val="18"/>
          <w:szCs w:val="18"/>
          <w:lang w:val="en-US" w:eastAsia="it-IT"/>
        </w:rPr>
        <w:tab/>
        <w:t>91</w:t>
      </w:r>
      <w:proofErr w:type="gramStart"/>
      <w:r w:rsidRPr="0025077E">
        <w:rPr>
          <w:rFonts w:ascii="Open Sans" w:hAnsi="Open Sans" w:cs="Open Sans"/>
          <w:sz w:val="18"/>
          <w:szCs w:val="18"/>
          <w:lang w:val="en-US" w:eastAsia="it-IT"/>
        </w:rPr>
        <w:t>,0</w:t>
      </w:r>
      <w:proofErr w:type="gramEnd"/>
      <w:r w:rsidRPr="0025077E">
        <w:rPr>
          <w:rFonts w:ascii="Open Sans" w:hAnsi="Open Sans" w:cs="Open Sans"/>
          <w:sz w:val="18"/>
          <w:szCs w:val="18"/>
          <w:lang w:val="en-US" w:eastAsia="it-IT"/>
        </w:rPr>
        <w:t xml:space="preserve"> dB</w:t>
      </w:r>
    </w:p>
    <w:p w14:paraId="5732CC3F" w14:textId="77777777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Sensibilità EN54-24, 1W/4m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  <w:t>78,0 dB</w:t>
      </w:r>
    </w:p>
    <w:p w14:paraId="52D279AF" w14:textId="77777777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Sensibilità IEC 268-5, 1W/1m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  <w:t>90,6 dB</w:t>
      </w:r>
    </w:p>
    <w:p w14:paraId="6F92FE85" w14:textId="77FAB948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Dispersione -6dB, 500Hz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="00A550B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25077E">
        <w:rPr>
          <w:rFonts w:ascii="Open Sans" w:hAnsi="Open Sans" w:cs="Open Sans"/>
          <w:sz w:val="18"/>
          <w:szCs w:val="18"/>
          <w:lang w:eastAsia="it-IT"/>
        </w:rPr>
        <w:t>180°</w:t>
      </w:r>
    </w:p>
    <w:p w14:paraId="753B2D3F" w14:textId="4DA4EDBA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Dispersione -6dB, 1KHz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="00A550B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25077E">
        <w:rPr>
          <w:rFonts w:ascii="Open Sans" w:hAnsi="Open Sans" w:cs="Open Sans"/>
          <w:sz w:val="18"/>
          <w:szCs w:val="18"/>
          <w:lang w:eastAsia="it-IT"/>
        </w:rPr>
        <w:t>180°</w:t>
      </w:r>
    </w:p>
    <w:p w14:paraId="7A43D0AE" w14:textId="448C5105" w:rsidR="0076752C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Dispersione -6dB, 2KHz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="00A550B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25077E">
        <w:rPr>
          <w:rFonts w:ascii="Open Sans" w:hAnsi="Open Sans" w:cs="Open Sans"/>
          <w:sz w:val="18"/>
          <w:szCs w:val="18"/>
          <w:lang w:eastAsia="it-IT"/>
        </w:rPr>
        <w:t>100°</w:t>
      </w:r>
    </w:p>
    <w:p w14:paraId="6135C0D0" w14:textId="377BBACA" w:rsidR="002418B8" w:rsidRPr="0025077E" w:rsidRDefault="0076752C" w:rsidP="0025077E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25077E">
        <w:rPr>
          <w:rFonts w:ascii="Open Sans" w:hAnsi="Open Sans" w:cs="Open Sans"/>
          <w:sz w:val="18"/>
          <w:szCs w:val="18"/>
          <w:lang w:eastAsia="it-IT"/>
        </w:rPr>
        <w:t>Dispersione -6dB, 4KHz</w:t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Pr="0025077E">
        <w:rPr>
          <w:rFonts w:ascii="Open Sans" w:hAnsi="Open Sans" w:cs="Open Sans"/>
          <w:sz w:val="18"/>
          <w:szCs w:val="18"/>
          <w:lang w:eastAsia="it-IT"/>
        </w:rPr>
        <w:tab/>
      </w:r>
      <w:r w:rsidR="00A550B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25077E">
        <w:rPr>
          <w:rFonts w:ascii="Open Sans" w:hAnsi="Open Sans" w:cs="Open Sans"/>
          <w:sz w:val="18"/>
          <w:szCs w:val="18"/>
          <w:lang w:eastAsia="it-IT"/>
        </w:rPr>
        <w:t>55°</w:t>
      </w:r>
    </w:p>
    <w:p w14:paraId="70D7DF9F" w14:textId="2E0EFEB1" w:rsidR="006546C2" w:rsidRPr="008B468F" w:rsidRDefault="006546C2" w:rsidP="006546C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267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9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4AABD57" w14:textId="4A9D89D4" w:rsidR="006546C2" w:rsidRPr="008B468F" w:rsidRDefault="006546C2" w:rsidP="006546C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452E7FB5" w14:textId="2012839E" w:rsidR="006546C2" w:rsidRDefault="006546C2" w:rsidP="006546C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3,4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23E61913" w14:textId="7C45237D" w:rsidR="006546C2" w:rsidRPr="00372E53" w:rsidRDefault="006546C2" w:rsidP="006546C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243</w:t>
      </w:r>
      <w:bookmarkStart w:id="0" w:name="_GoBack"/>
      <w:bookmarkEnd w:id="0"/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4D5CAAF8" w14:textId="77777777" w:rsidR="006546C2" w:rsidRDefault="006546C2" w:rsidP="006546C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25A266BE" w14:textId="77777777" w:rsidR="002418B8" w:rsidRPr="0025077E" w:rsidRDefault="002418B8" w:rsidP="0025077E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EB48C89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DL </w:t>
      </w:r>
      <w:r w:rsidR="0076752C">
        <w:rPr>
          <w:rFonts w:ascii="Open Sans" w:hAnsi="Open Sans" w:cs="Open Sans"/>
          <w:sz w:val="18"/>
          <w:szCs w:val="18"/>
          <w:u w:val="single"/>
        </w:rPr>
        <w:t>20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2418B8">
        <w:rPr>
          <w:rFonts w:ascii="Open Sans" w:hAnsi="Open Sans" w:cs="Open Sans"/>
          <w:sz w:val="18"/>
          <w:szCs w:val="18"/>
          <w:u w:val="single"/>
        </w:rPr>
        <w:t>200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1F804674" w14:textId="171B8C29" w:rsidR="00D06F50" w:rsidRDefault="00D06F50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6DCC754" w14:textId="6E849F59" w:rsidR="00D06F50" w:rsidRPr="00D06F50" w:rsidRDefault="00D06F50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61F3CC2" wp14:editId="50DE7705">
            <wp:extent cx="1742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20-2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0E2163C" wp14:editId="5CBEFC67">
            <wp:extent cx="1526400" cy="18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 20-200T-EN54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603EB"/>
    <w:rsid w:val="000C1D68"/>
    <w:rsid w:val="00111BCB"/>
    <w:rsid w:val="001342C7"/>
    <w:rsid w:val="00147BAD"/>
    <w:rsid w:val="002418B8"/>
    <w:rsid w:val="0025077E"/>
    <w:rsid w:val="00484439"/>
    <w:rsid w:val="00492B9B"/>
    <w:rsid w:val="005029F8"/>
    <w:rsid w:val="00603406"/>
    <w:rsid w:val="006546C2"/>
    <w:rsid w:val="006A0E60"/>
    <w:rsid w:val="0076752C"/>
    <w:rsid w:val="0077710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550B0"/>
    <w:rsid w:val="00A672BD"/>
    <w:rsid w:val="00B02DBC"/>
    <w:rsid w:val="00D06F50"/>
    <w:rsid w:val="00D0747F"/>
    <w:rsid w:val="00D1402B"/>
    <w:rsid w:val="00D208D1"/>
    <w:rsid w:val="00DA15E4"/>
    <w:rsid w:val="00E14A4D"/>
    <w:rsid w:val="00E95500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3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8</cp:revision>
  <cp:lastPrinted>2021-03-17T12:56:00Z</cp:lastPrinted>
  <dcterms:created xsi:type="dcterms:W3CDTF">2021-09-01T10:46:00Z</dcterms:created>
  <dcterms:modified xsi:type="dcterms:W3CDTF">2021-11-22T09:07:00Z</dcterms:modified>
</cp:coreProperties>
</file>