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B0F82" w14:textId="4AFD0BC5" w:rsidR="00A952FA" w:rsidRPr="00BB1363" w:rsidRDefault="00A952FA" w:rsidP="005E6E77">
      <w:pPr>
        <w:pStyle w:val="Nessunaspaziatura"/>
        <w:jc w:val="both"/>
        <w:rPr>
          <w:rFonts w:ascii="Open Sans" w:hAnsi="Open Sans" w:cs="Open Sans"/>
          <w:b/>
          <w:sz w:val="18"/>
          <w:szCs w:val="18"/>
        </w:rPr>
      </w:pPr>
      <w:r w:rsidRPr="00BB1363">
        <w:rPr>
          <w:rFonts w:ascii="Open Sans" w:hAnsi="Open Sans" w:cs="Open Sans"/>
          <w:b/>
          <w:sz w:val="18"/>
          <w:szCs w:val="18"/>
        </w:rPr>
        <w:t>EV6Z-VA</w:t>
      </w:r>
      <w:r w:rsidR="00293655" w:rsidRPr="00BB1363">
        <w:rPr>
          <w:rFonts w:ascii="Open Sans" w:hAnsi="Open Sans" w:cs="Open Sans"/>
          <w:b/>
          <w:sz w:val="18"/>
          <w:szCs w:val="18"/>
        </w:rPr>
        <w:t xml:space="preserve"> </w:t>
      </w:r>
      <w:r w:rsidR="00293655" w:rsidRPr="00BB1363">
        <w:rPr>
          <w:rFonts w:ascii="Open Sans" w:hAnsi="Open Sans" w:cs="Open Sans"/>
          <w:bCs/>
          <w:sz w:val="18"/>
          <w:szCs w:val="18"/>
        </w:rPr>
        <w:t>Matrice Master</w:t>
      </w:r>
    </w:p>
    <w:p w14:paraId="3AFE9D82" w14:textId="77777777" w:rsidR="00A952FA" w:rsidRPr="00BB1363" w:rsidRDefault="00A952FA" w:rsidP="005E6E77">
      <w:pPr>
        <w:pStyle w:val="Nessunaspaziatura"/>
        <w:jc w:val="both"/>
        <w:rPr>
          <w:rFonts w:ascii="Open Sans" w:hAnsi="Open Sans" w:cs="Open Sans"/>
          <w:b/>
          <w:color w:val="FF0000"/>
          <w:sz w:val="18"/>
          <w:szCs w:val="18"/>
        </w:rPr>
      </w:pPr>
    </w:p>
    <w:p w14:paraId="54ED4F4E" w14:textId="77777777" w:rsidR="00A952FA" w:rsidRPr="00BB1363" w:rsidRDefault="00A952FA" w:rsidP="005E6E77">
      <w:pPr>
        <w:pStyle w:val="Nessunaspaziatura"/>
        <w:rPr>
          <w:rFonts w:ascii="Open Sans" w:hAnsi="Open Sans" w:cs="Open Sans"/>
          <w:sz w:val="18"/>
          <w:szCs w:val="18"/>
        </w:rPr>
      </w:pPr>
      <w:r w:rsidRPr="00BB1363">
        <w:rPr>
          <w:rFonts w:ascii="Open Sans" w:hAnsi="Open Sans" w:cs="Open Sans"/>
          <w:sz w:val="18"/>
          <w:szCs w:val="18"/>
        </w:rPr>
        <w:t>Matrice digitale master a norme EN54-16 e idonea sia per la UNI EN60849 che per la UNI ISO7240-19,</w:t>
      </w:r>
      <w:r w:rsidR="005E6E77" w:rsidRPr="00BB1363">
        <w:rPr>
          <w:rFonts w:ascii="Open Sans" w:hAnsi="Open Sans" w:cs="Open Sans"/>
          <w:sz w:val="18"/>
          <w:szCs w:val="18"/>
        </w:rPr>
        <w:t xml:space="preserve"> </w:t>
      </w:r>
      <w:r w:rsidRPr="00BB1363">
        <w:rPr>
          <w:rFonts w:ascii="Open Sans" w:hAnsi="Open Sans" w:cs="Open Sans"/>
          <w:sz w:val="18"/>
          <w:szCs w:val="18"/>
        </w:rPr>
        <w:t>completa di modulo per il controllo dell'alimentatore. Predisposta per l'inserimento di 6 moduli di zona e/o zona AB per il controllo dell'amplificatore e della linea. Possibilità di aggiungere una scheda loop per espansione in rete con</w:t>
      </w:r>
      <w:r w:rsidR="005E6E77" w:rsidRPr="00BB1363">
        <w:rPr>
          <w:rFonts w:ascii="Open Sans" w:hAnsi="Open Sans" w:cs="Open Sans"/>
          <w:sz w:val="18"/>
          <w:szCs w:val="18"/>
        </w:rPr>
        <w:t xml:space="preserve"> </w:t>
      </w:r>
      <w:r w:rsidRPr="00BB1363">
        <w:rPr>
          <w:rFonts w:ascii="Open Sans" w:hAnsi="Open Sans" w:cs="Open Sans"/>
          <w:sz w:val="18"/>
          <w:szCs w:val="18"/>
        </w:rPr>
        <w:t>topologia loop fault tolerance (bus RS485).</w:t>
      </w:r>
    </w:p>
    <w:p w14:paraId="2F083D54" w14:textId="77777777" w:rsidR="00A952FA" w:rsidRPr="00BB1363" w:rsidRDefault="00A952FA" w:rsidP="005E6E77">
      <w:pPr>
        <w:pStyle w:val="Nessunaspaziatura"/>
        <w:rPr>
          <w:rFonts w:ascii="Open Sans" w:hAnsi="Open Sans" w:cs="Open Sans"/>
          <w:sz w:val="18"/>
          <w:szCs w:val="18"/>
        </w:rPr>
      </w:pPr>
      <w:r w:rsidRPr="00BB1363">
        <w:rPr>
          <w:rFonts w:ascii="Open Sans" w:hAnsi="Open Sans" w:cs="Open Sans"/>
          <w:sz w:val="18"/>
          <w:szCs w:val="18"/>
        </w:rPr>
        <w:t xml:space="preserve">Display frontale LCD, tasti funzione, led POWER, FAULT WARNING e VOICE ALARM, 2 indicatori led di stato per ogni singola zona. Presa USB per il collegamento al PC per la programmazione tramite software dedicato in ambiente </w:t>
      </w:r>
      <w:r w:rsidR="005E6E77" w:rsidRPr="00BB1363">
        <w:rPr>
          <w:rFonts w:ascii="Open Sans" w:hAnsi="Open Sans" w:cs="Open Sans"/>
          <w:sz w:val="18"/>
          <w:szCs w:val="18"/>
        </w:rPr>
        <w:t>W</w:t>
      </w:r>
      <w:r w:rsidRPr="00BB1363">
        <w:rPr>
          <w:rFonts w:ascii="Open Sans" w:hAnsi="Open Sans" w:cs="Open Sans"/>
          <w:sz w:val="18"/>
          <w:szCs w:val="18"/>
        </w:rPr>
        <w:t xml:space="preserve">indows con possibilità di configurazione totale della logica dell’impianto, delle basi microfoniche, dei gruppi, dei sottogruppi, degli allarmi e dei 10 livelli di priorità. Ingresso doppia </w:t>
      </w:r>
      <w:r w:rsidR="005E6E77" w:rsidRPr="00BB1363">
        <w:rPr>
          <w:rFonts w:ascii="Open Sans" w:hAnsi="Open Sans" w:cs="Open Sans"/>
          <w:sz w:val="18"/>
          <w:szCs w:val="18"/>
        </w:rPr>
        <w:t xml:space="preserve">alimentazione 24 </w:t>
      </w:r>
      <w:r w:rsidRPr="00BB1363">
        <w:rPr>
          <w:rFonts w:ascii="Open Sans" w:hAnsi="Open Sans" w:cs="Open Sans"/>
          <w:sz w:val="18"/>
          <w:szCs w:val="18"/>
        </w:rPr>
        <w:t xml:space="preserve">Vdc, connettore per ingresso amplificatore di riserva, due connettori RJ45 per il collegamento alla matrice slave, un connettore RJ45 per il collegamento delle consolle microfoniche. Connettore ingresso per due contatti attivazione messaggi, connettore uscita NO/NA per controllo FAULT e connettore uscita NO/NA per attivazioni speciali. Doppio ingresso AUX con controllo GAIN, indipendente e indirizzabile ad ogni zona.  Protocollo seriale per supervisione </w:t>
      </w:r>
      <w:r w:rsidR="005E6E77" w:rsidRPr="00BB1363">
        <w:rPr>
          <w:rFonts w:ascii="Open Sans" w:hAnsi="Open Sans" w:cs="Open Sans"/>
          <w:sz w:val="18"/>
          <w:szCs w:val="18"/>
        </w:rPr>
        <w:t>R</w:t>
      </w:r>
      <w:r w:rsidRPr="00BB1363">
        <w:rPr>
          <w:rFonts w:ascii="Open Sans" w:hAnsi="Open Sans" w:cs="Open Sans"/>
          <w:sz w:val="18"/>
          <w:szCs w:val="18"/>
        </w:rPr>
        <w:t xml:space="preserve">eal </w:t>
      </w:r>
      <w:r w:rsidR="005E6E77" w:rsidRPr="00BB1363">
        <w:rPr>
          <w:rFonts w:ascii="Open Sans" w:hAnsi="Open Sans" w:cs="Open Sans"/>
          <w:sz w:val="18"/>
          <w:szCs w:val="18"/>
        </w:rPr>
        <w:t>T</w:t>
      </w:r>
      <w:r w:rsidRPr="00BB1363">
        <w:rPr>
          <w:rFonts w:ascii="Open Sans" w:hAnsi="Open Sans" w:cs="Open Sans"/>
          <w:sz w:val="18"/>
          <w:szCs w:val="18"/>
        </w:rPr>
        <w:t>ime dell’intero sistema. Altezza 2 unità modulari.</w:t>
      </w:r>
    </w:p>
    <w:p w14:paraId="6A2578C2" w14:textId="77777777" w:rsidR="005E6E77" w:rsidRPr="00BB1363" w:rsidRDefault="00A952FA" w:rsidP="005E6E77">
      <w:pPr>
        <w:pStyle w:val="Nessunaspaziatura"/>
        <w:rPr>
          <w:rFonts w:ascii="Open Sans" w:hAnsi="Open Sans" w:cs="Open Sans"/>
          <w:sz w:val="18"/>
          <w:szCs w:val="18"/>
        </w:rPr>
      </w:pPr>
      <w:r w:rsidRPr="00BB1363">
        <w:rPr>
          <w:rFonts w:ascii="Open Sans" w:hAnsi="Open Sans" w:cs="Open Sans"/>
          <w:sz w:val="18"/>
          <w:szCs w:val="18"/>
        </w:rPr>
        <w:t>Caratteristiche tecniche:</w:t>
      </w:r>
    </w:p>
    <w:p w14:paraId="3A96A1FD" w14:textId="77777777" w:rsidR="005E6E77" w:rsidRPr="00BB1363" w:rsidRDefault="00A952FA" w:rsidP="005E6E77">
      <w:pPr>
        <w:pStyle w:val="Nessunaspaziatura"/>
        <w:rPr>
          <w:rFonts w:ascii="Open Sans" w:hAnsi="Open Sans" w:cs="Open Sans"/>
          <w:sz w:val="18"/>
          <w:szCs w:val="18"/>
        </w:rPr>
      </w:pPr>
      <w:r w:rsidRPr="00BB1363">
        <w:rPr>
          <w:rFonts w:ascii="Open Sans" w:hAnsi="Open Sans" w:cs="Open Sans"/>
          <w:sz w:val="18"/>
          <w:szCs w:val="18"/>
        </w:rPr>
        <w:t>cabinet da 2 unità a rack standard da 19"</w:t>
      </w:r>
      <w:r w:rsidR="005E6E77" w:rsidRPr="00BB1363">
        <w:rPr>
          <w:rFonts w:ascii="Open Sans" w:hAnsi="Open Sans" w:cs="Open Sans"/>
          <w:sz w:val="18"/>
          <w:szCs w:val="18"/>
        </w:rPr>
        <w:t xml:space="preserve"> - </w:t>
      </w:r>
      <w:r w:rsidRPr="00BB1363">
        <w:rPr>
          <w:rFonts w:ascii="Open Sans" w:hAnsi="Open Sans" w:cs="Open Sans"/>
          <w:sz w:val="18"/>
          <w:szCs w:val="18"/>
        </w:rPr>
        <w:t xml:space="preserve">Doppia alimentazione 24 Vdc </w:t>
      </w:r>
      <w:r w:rsidR="005E6E77" w:rsidRPr="00BB1363">
        <w:rPr>
          <w:rFonts w:ascii="Open Sans" w:hAnsi="Open Sans" w:cs="Open Sans"/>
          <w:sz w:val="18"/>
          <w:szCs w:val="18"/>
        </w:rPr>
        <w:t>-</w:t>
      </w:r>
      <w:r w:rsidRPr="00BB1363">
        <w:rPr>
          <w:rFonts w:ascii="Open Sans" w:hAnsi="Open Sans" w:cs="Open Sans"/>
          <w:sz w:val="18"/>
          <w:szCs w:val="18"/>
        </w:rPr>
        <w:t xml:space="preserve"> Doppio ingresso linea </w:t>
      </w:r>
      <w:r w:rsidR="005E6E77" w:rsidRPr="00BB1363">
        <w:rPr>
          <w:rFonts w:ascii="Open Sans" w:hAnsi="Open Sans" w:cs="Open Sans"/>
          <w:sz w:val="18"/>
          <w:szCs w:val="18"/>
        </w:rPr>
        <w:t>A</w:t>
      </w:r>
      <w:r w:rsidRPr="00BB1363">
        <w:rPr>
          <w:rFonts w:ascii="Open Sans" w:hAnsi="Open Sans" w:cs="Open Sans"/>
          <w:sz w:val="18"/>
          <w:szCs w:val="18"/>
        </w:rPr>
        <w:t>ux</w:t>
      </w:r>
      <w:r w:rsidR="005E6E77" w:rsidRPr="00BB1363">
        <w:rPr>
          <w:rFonts w:ascii="Open Sans" w:hAnsi="Open Sans" w:cs="Open Sans"/>
          <w:sz w:val="18"/>
          <w:szCs w:val="18"/>
        </w:rPr>
        <w:t xml:space="preserve"> - G</w:t>
      </w:r>
      <w:r w:rsidRPr="00BB1363">
        <w:rPr>
          <w:rFonts w:ascii="Open Sans" w:hAnsi="Open Sans" w:cs="Open Sans"/>
          <w:sz w:val="18"/>
          <w:szCs w:val="18"/>
        </w:rPr>
        <w:t xml:space="preserve">estione di una dorsale per basi microfoniche max </w:t>
      </w:r>
      <w:r w:rsidR="005E6E77" w:rsidRPr="00BB1363">
        <w:rPr>
          <w:rFonts w:ascii="Open Sans" w:hAnsi="Open Sans" w:cs="Open Sans"/>
          <w:sz w:val="18"/>
          <w:szCs w:val="18"/>
        </w:rPr>
        <w:t>54</w:t>
      </w:r>
      <w:r w:rsidRPr="00BB1363">
        <w:rPr>
          <w:rFonts w:ascii="Open Sans" w:hAnsi="Open Sans" w:cs="Open Sans"/>
          <w:sz w:val="18"/>
          <w:szCs w:val="18"/>
        </w:rPr>
        <w:t xml:space="preserve"> tastiere </w:t>
      </w:r>
      <w:r w:rsidR="005E6E77" w:rsidRPr="00BB1363">
        <w:rPr>
          <w:rFonts w:ascii="Open Sans" w:hAnsi="Open Sans" w:cs="Open Sans"/>
          <w:sz w:val="18"/>
          <w:szCs w:val="18"/>
        </w:rPr>
        <w:t>-</w:t>
      </w:r>
      <w:r w:rsidRPr="00BB1363">
        <w:rPr>
          <w:rFonts w:ascii="Open Sans" w:hAnsi="Open Sans" w:cs="Open Sans"/>
          <w:sz w:val="18"/>
          <w:szCs w:val="18"/>
        </w:rPr>
        <w:t xml:space="preserve"> Supporto fino a 13 unità Slave auto indirizzate </w:t>
      </w:r>
      <w:r w:rsidR="005E6E77" w:rsidRPr="00BB1363">
        <w:rPr>
          <w:rFonts w:ascii="Open Sans" w:hAnsi="Open Sans" w:cs="Open Sans"/>
          <w:sz w:val="18"/>
          <w:szCs w:val="18"/>
        </w:rPr>
        <w:t>-</w:t>
      </w:r>
      <w:r w:rsidRPr="00BB1363">
        <w:rPr>
          <w:rFonts w:ascii="Open Sans" w:hAnsi="Open Sans" w:cs="Open Sans"/>
          <w:sz w:val="18"/>
          <w:szCs w:val="18"/>
        </w:rPr>
        <w:t xml:space="preserve"> Possibilità di gestire fino a 6 zone e/o zone AB indipendenti </w:t>
      </w:r>
      <w:r w:rsidR="005E6E77" w:rsidRPr="00BB1363">
        <w:rPr>
          <w:rFonts w:ascii="Open Sans" w:hAnsi="Open Sans" w:cs="Open Sans"/>
          <w:sz w:val="18"/>
          <w:szCs w:val="18"/>
        </w:rPr>
        <w:t>-</w:t>
      </w:r>
      <w:r w:rsidRPr="00BB1363">
        <w:rPr>
          <w:rFonts w:ascii="Open Sans" w:hAnsi="Open Sans" w:cs="Open Sans"/>
          <w:sz w:val="18"/>
          <w:szCs w:val="18"/>
        </w:rPr>
        <w:t xml:space="preserve"> Possibilità di alimentare direttamente fino a 4 basi microfoniche </w:t>
      </w:r>
      <w:r w:rsidR="005E6E77" w:rsidRPr="00BB1363">
        <w:rPr>
          <w:rFonts w:ascii="Open Sans" w:hAnsi="Open Sans" w:cs="Open Sans"/>
          <w:sz w:val="18"/>
          <w:szCs w:val="18"/>
        </w:rPr>
        <w:t>-</w:t>
      </w:r>
      <w:r w:rsidRPr="00BB1363">
        <w:rPr>
          <w:rFonts w:ascii="Open Sans" w:hAnsi="Open Sans" w:cs="Open Sans"/>
          <w:sz w:val="18"/>
          <w:szCs w:val="18"/>
        </w:rPr>
        <w:t xml:space="preserve"> Gestione di 1 amplificatore 100V di riserva per l’intero sistema o per la sola master </w:t>
      </w:r>
      <w:r w:rsidR="005E6E77" w:rsidRPr="00BB1363">
        <w:rPr>
          <w:rFonts w:ascii="Open Sans" w:hAnsi="Open Sans" w:cs="Open Sans"/>
          <w:sz w:val="18"/>
          <w:szCs w:val="18"/>
        </w:rPr>
        <w:t>-</w:t>
      </w:r>
      <w:r w:rsidRPr="00BB1363">
        <w:rPr>
          <w:rFonts w:ascii="Open Sans" w:hAnsi="Open Sans" w:cs="Open Sans"/>
          <w:sz w:val="18"/>
          <w:szCs w:val="18"/>
        </w:rPr>
        <w:t xml:space="preserve"> 1 slot di espansione per il modulo </w:t>
      </w:r>
      <w:r w:rsidR="005E6E77" w:rsidRPr="00BB1363">
        <w:rPr>
          <w:rFonts w:ascii="Open Sans" w:hAnsi="Open Sans" w:cs="Open Sans"/>
          <w:sz w:val="18"/>
          <w:szCs w:val="18"/>
        </w:rPr>
        <w:t>con topologia loop fault to</w:t>
      </w:r>
      <w:r w:rsidRPr="00BB1363">
        <w:rPr>
          <w:rFonts w:ascii="Open Sans" w:hAnsi="Open Sans" w:cs="Open Sans"/>
          <w:sz w:val="18"/>
          <w:szCs w:val="18"/>
        </w:rPr>
        <w:t xml:space="preserve">lerance </w:t>
      </w:r>
      <w:r w:rsidR="005E6E77" w:rsidRPr="00BB1363">
        <w:rPr>
          <w:rFonts w:ascii="Open Sans" w:hAnsi="Open Sans" w:cs="Open Sans"/>
          <w:sz w:val="18"/>
          <w:szCs w:val="18"/>
        </w:rPr>
        <w:t>-</w:t>
      </w:r>
      <w:r w:rsidRPr="00BB1363">
        <w:rPr>
          <w:rFonts w:ascii="Open Sans" w:hAnsi="Open Sans" w:cs="Open Sans"/>
          <w:sz w:val="18"/>
          <w:szCs w:val="18"/>
        </w:rPr>
        <w:t xml:space="preserve"> Gestione di 1 contatto programmabile sia sul livello (NO/NC) </w:t>
      </w:r>
      <w:r w:rsidR="005E6E77" w:rsidRPr="00BB1363">
        <w:rPr>
          <w:rFonts w:ascii="Open Sans" w:hAnsi="Open Sans" w:cs="Open Sans"/>
          <w:sz w:val="18"/>
          <w:szCs w:val="18"/>
        </w:rPr>
        <w:t>-</w:t>
      </w:r>
      <w:r w:rsidRPr="00BB1363">
        <w:rPr>
          <w:rFonts w:ascii="Open Sans" w:hAnsi="Open Sans" w:cs="Open Sans"/>
          <w:sz w:val="18"/>
          <w:szCs w:val="18"/>
        </w:rPr>
        <w:t xml:space="preserve"> Gestione di 1 contatto sia sul livello (NO/NC) </w:t>
      </w:r>
      <w:r w:rsidR="005E6E77" w:rsidRPr="00BB1363">
        <w:rPr>
          <w:rFonts w:ascii="Open Sans" w:hAnsi="Open Sans" w:cs="Open Sans"/>
          <w:sz w:val="18"/>
          <w:szCs w:val="18"/>
        </w:rPr>
        <w:t>-</w:t>
      </w:r>
      <w:r w:rsidRPr="00BB1363">
        <w:rPr>
          <w:rFonts w:ascii="Open Sans" w:hAnsi="Open Sans" w:cs="Open Sans"/>
          <w:sz w:val="18"/>
          <w:szCs w:val="18"/>
        </w:rPr>
        <w:t xml:space="preserve"> Display monocromatico dot Matrix 64x160 per la visualizzazione del menù </w:t>
      </w:r>
      <w:r w:rsidR="005E6E77" w:rsidRPr="00BB1363">
        <w:rPr>
          <w:rFonts w:ascii="Open Sans" w:hAnsi="Open Sans" w:cs="Open Sans"/>
          <w:sz w:val="18"/>
          <w:szCs w:val="18"/>
        </w:rPr>
        <w:t>-</w:t>
      </w:r>
      <w:r w:rsidRPr="00BB1363">
        <w:rPr>
          <w:rFonts w:ascii="Open Sans" w:hAnsi="Open Sans" w:cs="Open Sans"/>
          <w:sz w:val="18"/>
          <w:szCs w:val="18"/>
        </w:rPr>
        <w:t xml:space="preserve"> Tastierino di navigazione a 6 tasti (UP, DOWN. LEFT,RIGHT, ENTER, CANCEL) </w:t>
      </w:r>
      <w:r w:rsidR="005E6E77" w:rsidRPr="00BB1363">
        <w:rPr>
          <w:rFonts w:ascii="Open Sans" w:hAnsi="Open Sans" w:cs="Open Sans"/>
          <w:sz w:val="18"/>
          <w:szCs w:val="18"/>
        </w:rPr>
        <w:t>-</w:t>
      </w:r>
      <w:r w:rsidRPr="00BB1363">
        <w:rPr>
          <w:rFonts w:ascii="Open Sans" w:hAnsi="Open Sans" w:cs="Open Sans"/>
          <w:sz w:val="18"/>
          <w:szCs w:val="18"/>
        </w:rPr>
        <w:t xml:space="preserve"> 3 indicatori led frontali coerenti con la normativa EN54-16 o EN60849 (POWER – VOICE ALARM – FAULT) </w:t>
      </w:r>
      <w:r w:rsidR="005E6E77" w:rsidRPr="00BB1363">
        <w:rPr>
          <w:rFonts w:ascii="Open Sans" w:hAnsi="Open Sans" w:cs="Open Sans"/>
          <w:sz w:val="18"/>
          <w:szCs w:val="18"/>
        </w:rPr>
        <w:t>-</w:t>
      </w:r>
      <w:r w:rsidRPr="00BB1363">
        <w:rPr>
          <w:rFonts w:ascii="Open Sans" w:hAnsi="Open Sans" w:cs="Open Sans"/>
          <w:sz w:val="18"/>
          <w:szCs w:val="18"/>
        </w:rPr>
        <w:t xml:space="preserve"> 2 indicatori led di stato per ogni singola zona per un totale 12 indicatori led </w:t>
      </w:r>
      <w:r w:rsidR="005E6E77" w:rsidRPr="00BB1363">
        <w:rPr>
          <w:rFonts w:ascii="Open Sans" w:hAnsi="Open Sans" w:cs="Open Sans"/>
          <w:sz w:val="18"/>
          <w:szCs w:val="18"/>
        </w:rPr>
        <w:t>-</w:t>
      </w:r>
      <w:r w:rsidRPr="00BB1363">
        <w:rPr>
          <w:rFonts w:ascii="Open Sans" w:hAnsi="Open Sans" w:cs="Open Sans"/>
          <w:sz w:val="18"/>
          <w:szCs w:val="18"/>
        </w:rPr>
        <w:t xml:space="preserve"> Presa USB B per connessione al software PC di configurazione </w:t>
      </w:r>
      <w:r w:rsidR="005E6E77" w:rsidRPr="00BB1363">
        <w:rPr>
          <w:rFonts w:ascii="Open Sans" w:hAnsi="Open Sans" w:cs="Open Sans"/>
          <w:sz w:val="18"/>
          <w:szCs w:val="18"/>
        </w:rPr>
        <w:t>-</w:t>
      </w:r>
      <w:r w:rsidRPr="00BB1363">
        <w:rPr>
          <w:rFonts w:ascii="Open Sans" w:hAnsi="Open Sans" w:cs="Open Sans"/>
          <w:sz w:val="18"/>
          <w:szCs w:val="18"/>
        </w:rPr>
        <w:t xml:space="preserve"> Scheda micro/SD interna per la memorizzazione dei messaggi vocali, controllata dal sistema come da specifica EN54-16 </w:t>
      </w:r>
      <w:r w:rsidR="005E6E77" w:rsidRPr="00BB1363">
        <w:rPr>
          <w:rFonts w:ascii="Open Sans" w:hAnsi="Open Sans" w:cs="Open Sans"/>
          <w:sz w:val="18"/>
          <w:szCs w:val="18"/>
        </w:rPr>
        <w:t>-</w:t>
      </w:r>
      <w:r w:rsidRPr="00BB1363">
        <w:rPr>
          <w:rFonts w:ascii="Open Sans" w:hAnsi="Open Sans" w:cs="Open Sans"/>
          <w:sz w:val="18"/>
          <w:szCs w:val="18"/>
        </w:rPr>
        <w:t xml:space="preserve"> Gestione dinamica e flessibile delle priorità per l’accesso alle risorse audio coerente con la normativa EN54-16</w:t>
      </w:r>
      <w:r w:rsidR="005E6E77" w:rsidRPr="00BB1363">
        <w:rPr>
          <w:rFonts w:ascii="Open Sans" w:hAnsi="Open Sans" w:cs="Open Sans"/>
          <w:sz w:val="18"/>
          <w:szCs w:val="18"/>
        </w:rPr>
        <w:t>.</w:t>
      </w:r>
    </w:p>
    <w:p w14:paraId="3FD135E3" w14:textId="77777777" w:rsidR="00A952FA" w:rsidRPr="00BB1363" w:rsidRDefault="00A952FA" w:rsidP="005E6E77">
      <w:pPr>
        <w:pStyle w:val="Nessunaspaziatura"/>
        <w:rPr>
          <w:rFonts w:ascii="Open Sans" w:hAnsi="Open Sans" w:cs="Open Sans"/>
          <w:sz w:val="18"/>
          <w:szCs w:val="18"/>
        </w:rPr>
      </w:pPr>
      <w:r w:rsidRPr="00BB1363">
        <w:rPr>
          <w:rFonts w:ascii="Open Sans" w:hAnsi="Open Sans" w:cs="Open Sans"/>
          <w:sz w:val="18"/>
          <w:szCs w:val="18"/>
        </w:rPr>
        <w:t xml:space="preserve">Al fine di garantire la massima sicurezza, affidabilità di prestazioni dell'intero sistema ad ogni modulo di zona deve essere assolutamente associato un amplificatore (compreso quello di riserva) dedicato di adeguata potenza e  impostato con uscita a 100V  per garantire la massima intelligibilità dei messaggi </w:t>
      </w:r>
    </w:p>
    <w:p w14:paraId="580D0A2C" w14:textId="77777777" w:rsidR="00A952FA" w:rsidRPr="00BB1363" w:rsidRDefault="00A952FA" w:rsidP="005E6E77">
      <w:pPr>
        <w:pStyle w:val="Nessunaspaziatura"/>
        <w:jc w:val="both"/>
        <w:rPr>
          <w:rFonts w:ascii="Open Sans" w:hAnsi="Open Sans" w:cs="Open Sans"/>
          <w:sz w:val="18"/>
          <w:szCs w:val="18"/>
        </w:rPr>
      </w:pPr>
    </w:p>
    <w:p w14:paraId="5E360152" w14:textId="74098ECE" w:rsidR="007A323F" w:rsidRDefault="00A952FA" w:rsidP="00BB1363">
      <w:pPr>
        <w:pStyle w:val="Nessunaspaziatura"/>
        <w:jc w:val="center"/>
        <w:rPr>
          <w:rFonts w:ascii="Open Sans" w:hAnsi="Open Sans" w:cs="Open Sans"/>
          <w:sz w:val="18"/>
          <w:szCs w:val="18"/>
          <w:u w:val="single"/>
        </w:rPr>
      </w:pPr>
      <w:r w:rsidRPr="00BB1363">
        <w:rPr>
          <w:rFonts w:ascii="Open Sans" w:hAnsi="Open Sans" w:cs="Open Sans"/>
          <w:sz w:val="18"/>
          <w:szCs w:val="18"/>
          <w:u w:val="single"/>
        </w:rPr>
        <w:t>Le caratteristiche richieste si riferiscono al modello BLUEPRINT EV6Z-VA o equivalente.</w:t>
      </w:r>
    </w:p>
    <w:p w14:paraId="2DB86C93" w14:textId="172A0112" w:rsidR="00B42E77" w:rsidRDefault="00B42E77" w:rsidP="00BB1363">
      <w:pPr>
        <w:pStyle w:val="Nessunaspaziatura"/>
        <w:jc w:val="center"/>
        <w:rPr>
          <w:rFonts w:ascii="Open Sans" w:hAnsi="Open Sans" w:cs="Open Sans"/>
          <w:sz w:val="18"/>
          <w:szCs w:val="18"/>
          <w:u w:val="single"/>
        </w:rPr>
      </w:pPr>
    </w:p>
    <w:p w14:paraId="4177D5D2" w14:textId="7210691B" w:rsidR="00B42E77" w:rsidRDefault="00B42E77" w:rsidP="00BB1363">
      <w:pPr>
        <w:pStyle w:val="Nessunaspaziatura"/>
        <w:jc w:val="center"/>
        <w:rPr>
          <w:rFonts w:ascii="Open Sans" w:hAnsi="Open Sans" w:cs="Open Sans"/>
          <w:sz w:val="18"/>
          <w:szCs w:val="18"/>
        </w:rPr>
      </w:pPr>
      <w:r>
        <w:rPr>
          <w:rFonts w:ascii="Open Sans" w:hAnsi="Open Sans" w:cs="Open Sans"/>
          <w:noProof/>
          <w:sz w:val="18"/>
          <w:szCs w:val="18"/>
        </w:rPr>
        <w:drawing>
          <wp:inline distT="0" distB="0" distL="0" distR="0" wp14:anchorId="55FDCD92" wp14:editId="52611932">
            <wp:extent cx="3600000" cy="943200"/>
            <wp:effectExtent l="0" t="0" r="63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6Z-VA fronte.png"/>
                    <pic:cNvPicPr/>
                  </pic:nvPicPr>
                  <pic:blipFill>
                    <a:blip r:embed="rId6">
                      <a:extLst>
                        <a:ext uri="{28A0092B-C50C-407E-A947-70E740481C1C}">
                          <a14:useLocalDpi xmlns:a14="http://schemas.microsoft.com/office/drawing/2010/main" val="0"/>
                        </a:ext>
                      </a:extLst>
                    </a:blip>
                    <a:stretch>
                      <a:fillRect/>
                    </a:stretch>
                  </pic:blipFill>
                  <pic:spPr>
                    <a:xfrm>
                      <a:off x="0" y="0"/>
                      <a:ext cx="3600000" cy="943200"/>
                    </a:xfrm>
                    <a:prstGeom prst="rect">
                      <a:avLst/>
                    </a:prstGeom>
                  </pic:spPr>
                </pic:pic>
              </a:graphicData>
            </a:graphic>
          </wp:inline>
        </w:drawing>
      </w:r>
    </w:p>
    <w:p w14:paraId="7A9D17C2" w14:textId="1E67EDF7" w:rsidR="00B42E77" w:rsidRDefault="00B42E77" w:rsidP="00BB1363">
      <w:pPr>
        <w:pStyle w:val="Nessunaspaziatura"/>
        <w:jc w:val="center"/>
        <w:rPr>
          <w:rFonts w:ascii="Open Sans" w:hAnsi="Open Sans" w:cs="Open Sans"/>
          <w:sz w:val="18"/>
          <w:szCs w:val="18"/>
        </w:rPr>
      </w:pPr>
    </w:p>
    <w:p w14:paraId="1420DE25" w14:textId="5D031726" w:rsidR="00B42E77" w:rsidRPr="00B42E77" w:rsidRDefault="00B42E77" w:rsidP="00BB1363">
      <w:pPr>
        <w:pStyle w:val="Nessunaspaziatura"/>
        <w:jc w:val="center"/>
        <w:rPr>
          <w:rFonts w:ascii="Open Sans" w:hAnsi="Open Sans" w:cs="Open Sans"/>
          <w:sz w:val="18"/>
          <w:szCs w:val="18"/>
        </w:rPr>
      </w:pPr>
      <w:bookmarkStart w:id="0" w:name="_GoBack"/>
      <w:r>
        <w:rPr>
          <w:rFonts w:ascii="Open Sans" w:hAnsi="Open Sans" w:cs="Open Sans"/>
          <w:noProof/>
          <w:sz w:val="18"/>
          <w:szCs w:val="18"/>
        </w:rPr>
        <w:drawing>
          <wp:inline distT="0" distB="0" distL="0" distR="0" wp14:anchorId="5A9BFA59" wp14:editId="41C54073">
            <wp:extent cx="3600000" cy="1008000"/>
            <wp:effectExtent l="0" t="0" r="635"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6Z-VA retro.png"/>
                    <pic:cNvPicPr/>
                  </pic:nvPicPr>
                  <pic:blipFill>
                    <a:blip r:embed="rId7">
                      <a:extLst>
                        <a:ext uri="{28A0092B-C50C-407E-A947-70E740481C1C}">
                          <a14:useLocalDpi xmlns:a14="http://schemas.microsoft.com/office/drawing/2010/main" val="0"/>
                        </a:ext>
                      </a:extLst>
                    </a:blip>
                    <a:stretch>
                      <a:fillRect/>
                    </a:stretch>
                  </pic:blipFill>
                  <pic:spPr>
                    <a:xfrm>
                      <a:off x="0" y="0"/>
                      <a:ext cx="3600000" cy="1008000"/>
                    </a:xfrm>
                    <a:prstGeom prst="rect">
                      <a:avLst/>
                    </a:prstGeom>
                  </pic:spPr>
                </pic:pic>
              </a:graphicData>
            </a:graphic>
          </wp:inline>
        </w:drawing>
      </w:r>
      <w:bookmarkEnd w:id="0"/>
    </w:p>
    <w:sectPr w:rsidR="00B42E77" w:rsidRPr="00B42E77" w:rsidSect="00293655">
      <w:headerReference w:type="default" r:id="rId8"/>
      <w:pgSz w:w="11900" w:h="16840"/>
      <w:pgMar w:top="1701" w:right="1134" w:bottom="136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7AFB3" w14:textId="77777777" w:rsidR="008953E4" w:rsidRDefault="008953E4" w:rsidP="007A323F">
      <w:r>
        <w:separator/>
      </w:r>
    </w:p>
  </w:endnote>
  <w:endnote w:type="continuationSeparator" w:id="0">
    <w:p w14:paraId="6CE83027" w14:textId="77777777" w:rsidR="008953E4" w:rsidRDefault="008953E4" w:rsidP="007A3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D8499" w14:textId="77777777" w:rsidR="008953E4" w:rsidRDefault="008953E4" w:rsidP="007A323F">
      <w:r>
        <w:separator/>
      </w:r>
    </w:p>
  </w:footnote>
  <w:footnote w:type="continuationSeparator" w:id="0">
    <w:p w14:paraId="1568547E" w14:textId="77777777" w:rsidR="008953E4" w:rsidRDefault="008953E4" w:rsidP="007A3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51509" w14:textId="77777777" w:rsidR="007A323F" w:rsidRDefault="00D0747F">
    <w:pPr>
      <w:pStyle w:val="Intestazione"/>
    </w:pPr>
    <w:r>
      <w:rPr>
        <w:noProof/>
        <w:lang w:eastAsia="it-IT"/>
      </w:rPr>
      <w:drawing>
        <wp:anchor distT="0" distB="0" distL="114300" distR="114300" simplePos="0" relativeHeight="251658240" behindDoc="0" locked="0" layoutInCell="1" allowOverlap="1" wp14:anchorId="431DB3A3" wp14:editId="65815C97">
          <wp:simplePos x="0" y="0"/>
          <wp:positionH relativeFrom="column">
            <wp:posOffset>-705163</wp:posOffset>
          </wp:positionH>
          <wp:positionV relativeFrom="paragraph">
            <wp:posOffset>-435610</wp:posOffset>
          </wp:positionV>
          <wp:extent cx="7656394" cy="10675988"/>
          <wp:effectExtent l="0" t="0" r="1905" b="508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 intestata Blueprint.ai"/>
                  <pic:cNvPicPr/>
                </pic:nvPicPr>
                <pic:blipFill>
                  <a:blip r:embed="rId1">
                    <a:extLst>
                      <a:ext uri="{28A0092B-C50C-407E-A947-70E740481C1C}">
                        <a14:useLocalDpi xmlns:a14="http://schemas.microsoft.com/office/drawing/2010/main" val="0"/>
                      </a:ext>
                    </a:extLst>
                  </a:blip>
                  <a:stretch>
                    <a:fillRect/>
                  </a:stretch>
                </pic:blipFill>
                <pic:spPr>
                  <a:xfrm>
                    <a:off x="0" y="0"/>
                    <a:ext cx="7656394" cy="1067598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5"/>
  <w:attachedTemplate r:id="rId1"/>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3E4"/>
    <w:rsid w:val="00043688"/>
    <w:rsid w:val="00147BAD"/>
    <w:rsid w:val="00293655"/>
    <w:rsid w:val="005029F8"/>
    <w:rsid w:val="005E6E77"/>
    <w:rsid w:val="00603406"/>
    <w:rsid w:val="006A0E60"/>
    <w:rsid w:val="007A323F"/>
    <w:rsid w:val="007A7273"/>
    <w:rsid w:val="00836506"/>
    <w:rsid w:val="008953E4"/>
    <w:rsid w:val="008C2326"/>
    <w:rsid w:val="00905D53"/>
    <w:rsid w:val="009444F4"/>
    <w:rsid w:val="009C15A6"/>
    <w:rsid w:val="009E5177"/>
    <w:rsid w:val="00A952FA"/>
    <w:rsid w:val="00B02DBC"/>
    <w:rsid w:val="00B42E77"/>
    <w:rsid w:val="00BB1363"/>
    <w:rsid w:val="00D0747F"/>
    <w:rsid w:val="00D208D1"/>
    <w:rsid w:val="00F16A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C96AA8"/>
  <w15:chartTrackingRefBased/>
  <w15:docId w15:val="{26716AA7-DA83-4133-9AF5-402E73D7B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36506"/>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A323F"/>
    <w:pPr>
      <w:tabs>
        <w:tab w:val="center" w:pos="4819"/>
        <w:tab w:val="right" w:pos="9638"/>
      </w:tabs>
      <w:spacing w:after="0" w:line="240" w:lineRule="auto"/>
    </w:pPr>
    <w:rPr>
      <w:sz w:val="24"/>
      <w:szCs w:val="24"/>
    </w:rPr>
  </w:style>
  <w:style w:type="character" w:customStyle="1" w:styleId="IntestazioneCarattere">
    <w:name w:val="Intestazione Carattere"/>
    <w:basedOn w:val="Carpredefinitoparagrafo"/>
    <w:link w:val="Intestazione"/>
    <w:uiPriority w:val="99"/>
    <w:rsid w:val="007A323F"/>
  </w:style>
  <w:style w:type="paragraph" w:styleId="Pidipagina">
    <w:name w:val="footer"/>
    <w:basedOn w:val="Normale"/>
    <w:link w:val="PidipaginaCarattere"/>
    <w:uiPriority w:val="99"/>
    <w:unhideWhenUsed/>
    <w:rsid w:val="007A323F"/>
    <w:pPr>
      <w:tabs>
        <w:tab w:val="center" w:pos="4819"/>
        <w:tab w:val="right" w:pos="9638"/>
      </w:tabs>
      <w:spacing w:after="0" w:line="240" w:lineRule="auto"/>
    </w:pPr>
    <w:rPr>
      <w:sz w:val="24"/>
      <w:szCs w:val="24"/>
    </w:rPr>
  </w:style>
  <w:style w:type="character" w:customStyle="1" w:styleId="PidipaginaCarattere">
    <w:name w:val="Piè di pagina Carattere"/>
    <w:basedOn w:val="Carpredefinitoparagrafo"/>
    <w:link w:val="Pidipagina"/>
    <w:uiPriority w:val="99"/>
    <w:rsid w:val="007A323F"/>
  </w:style>
  <w:style w:type="character" w:styleId="Testosegnaposto">
    <w:name w:val="Placeholder Text"/>
    <w:basedOn w:val="Carpredefinitoparagrafo"/>
    <w:uiPriority w:val="99"/>
    <w:semiHidden/>
    <w:rsid w:val="008953E4"/>
    <w:rPr>
      <w:color w:val="808080"/>
    </w:rPr>
  </w:style>
  <w:style w:type="paragraph" w:styleId="Nessunaspaziatura">
    <w:name w:val="No Spacing"/>
    <w:uiPriority w:val="1"/>
    <w:qFormat/>
    <w:rsid w:val="008953E4"/>
    <w:rPr>
      <w:sz w:val="24"/>
      <w:szCs w:val="24"/>
      <w:lang w:eastAsia="en-US"/>
    </w:rPr>
  </w:style>
  <w:style w:type="paragraph" w:customStyle="1" w:styleId="a">
    <w:basedOn w:val="Normale"/>
    <w:next w:val="Corpotesto"/>
    <w:rsid w:val="00A952FA"/>
    <w:pPr>
      <w:spacing w:after="120" w:line="240" w:lineRule="auto"/>
    </w:pPr>
    <w:rPr>
      <w:rFonts w:ascii="Times New Roman" w:eastAsia="SimSun" w:hAnsi="Times New Roman"/>
      <w:sz w:val="24"/>
      <w:szCs w:val="24"/>
      <w:lang w:eastAsia="zh-CN"/>
    </w:rPr>
  </w:style>
  <w:style w:type="paragraph" w:styleId="Corpotesto">
    <w:name w:val="Body Text"/>
    <w:basedOn w:val="Normale"/>
    <w:link w:val="CorpotestoCarattere"/>
    <w:uiPriority w:val="99"/>
    <w:semiHidden/>
    <w:unhideWhenUsed/>
    <w:rsid w:val="00A952FA"/>
    <w:pPr>
      <w:spacing w:after="120"/>
    </w:pPr>
  </w:style>
  <w:style w:type="character" w:customStyle="1" w:styleId="CorpotestoCarattere">
    <w:name w:val="Corpo testo Carattere"/>
    <w:basedOn w:val="Carpredefinitoparagrafo"/>
    <w:link w:val="Corpotesto"/>
    <w:uiPriority w:val="99"/>
    <w:semiHidden/>
    <w:rsid w:val="00A952F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2216432">
      <w:bodyDiv w:val="1"/>
      <w:marLeft w:val="0"/>
      <w:marRight w:val="0"/>
      <w:marTop w:val="0"/>
      <w:marBottom w:val="0"/>
      <w:divBdr>
        <w:top w:val="none" w:sz="0" w:space="0" w:color="auto"/>
        <w:left w:val="none" w:sz="0" w:space="0" w:color="auto"/>
        <w:bottom w:val="none" w:sz="0" w:space="0" w:color="auto"/>
        <w:right w:val="none" w:sz="0" w:space="0" w:color="auto"/>
      </w:divBdr>
    </w:div>
    <w:div w:id="149475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o\Desktop\Carta%20intestata%20Blueprint.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intestata Blueprint.dotx</Template>
  <TotalTime>6</TotalTime>
  <Pages>1</Pages>
  <Words>452</Words>
  <Characters>2581</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dc:creator>
  <cp:keywords/>
  <dc:description/>
  <cp:lastModifiedBy>LabCarde</cp:lastModifiedBy>
  <cp:revision>7</cp:revision>
  <cp:lastPrinted>2021-03-17T12:56:00Z</cp:lastPrinted>
  <dcterms:created xsi:type="dcterms:W3CDTF">2021-07-20T13:22:00Z</dcterms:created>
  <dcterms:modified xsi:type="dcterms:W3CDTF">2021-07-25T09:22:00Z</dcterms:modified>
</cp:coreProperties>
</file>